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bookmarkStart w:id="1" w:name="_GoBack"/>
      <w:bookmarkEnd w:id="1"/>
      <w:r>
        <w:rPr>
          <w:b w:val="1"/>
        </w:rPr>
        <w:t xml:space="preserve">Перечень необходимых документов, регламентирующих работу с конфиденциальной информацией, в том числе с персональными данными в государственных информационных системах. </w:t>
      </w:r>
    </w:p>
    <w:p w14:paraId="02000000">
      <w:pPr>
        <w:ind/>
        <w:jc w:val="center"/>
      </w:pPr>
    </w:p>
    <w:p w14:paraId="03000000">
      <w:pPr>
        <w:ind w:firstLine="709" w:left="0"/>
      </w:pPr>
      <w:r>
        <w:rPr>
          <w:b w:val="1"/>
        </w:rPr>
        <w:t>ВНИМАНИЕ!!!</w:t>
      </w:r>
      <w:r>
        <w:t xml:space="preserve"> </w:t>
      </w:r>
      <w:r>
        <w:t xml:space="preserve">Данные документы могут иметь иные формулировки или содержаться в других </w:t>
      </w:r>
      <w:r>
        <w:t>организационно-распорядительных документах, но принципиально важно учесть все перечисленные вопросы, в соответствии с законодательством РФ.</w:t>
      </w:r>
    </w:p>
    <w:p w14:paraId="04000000">
      <w:pPr>
        <w:ind/>
        <w:jc w:val="center"/>
      </w:pPr>
    </w:p>
    <w:p w14:paraId="05000000">
      <w:pPr>
        <w:numPr>
          <w:ilvl w:val="0"/>
          <w:numId w:val="1"/>
        </w:numPr>
        <w:ind w:firstLine="709" w:left="0"/>
      </w:pPr>
      <w:r>
        <w:t>Политика по обработке персональных данных.</w:t>
      </w:r>
    </w:p>
    <w:p w14:paraId="06000000">
      <w:pPr>
        <w:numPr>
          <w:ilvl w:val="0"/>
          <w:numId w:val="1"/>
        </w:numPr>
        <w:ind w:firstLine="709" w:left="0"/>
      </w:pPr>
      <w:r>
        <w:t>Перечень информации, обрабатываемой.</w:t>
      </w:r>
    </w:p>
    <w:p w14:paraId="07000000">
      <w:pPr>
        <w:numPr>
          <w:ilvl w:val="0"/>
          <w:numId w:val="1"/>
        </w:numPr>
        <w:ind w:firstLine="709" w:left="0"/>
      </w:pPr>
      <w:r>
        <w:t>Перечень лиц, имеющих доступ в поме</w:t>
      </w:r>
      <w:r>
        <w:t>щения, в которых расположены ТС ИС, и доступ к обработке информации ограниченного доступа.</w:t>
      </w:r>
    </w:p>
    <w:p w14:paraId="08000000">
      <w:pPr>
        <w:numPr>
          <w:ilvl w:val="0"/>
          <w:numId w:val="1"/>
        </w:numPr>
        <w:ind w:firstLine="709" w:left="0"/>
      </w:pPr>
      <w:r>
        <w:t xml:space="preserve">Порядок доступа пользователей в помещения, в которых ведется </w:t>
      </w:r>
      <w:r>
        <w:t>обработка информации ограниченного доступа.</w:t>
      </w:r>
    </w:p>
    <w:p w14:paraId="09000000">
      <w:pPr>
        <w:numPr>
          <w:ilvl w:val="0"/>
          <w:numId w:val="1"/>
        </w:numPr>
        <w:ind w:firstLine="709" w:left="0"/>
      </w:pPr>
      <w:r>
        <w:t xml:space="preserve">Правила обработки </w:t>
      </w:r>
      <w:r>
        <w:t>перс.данных</w:t>
      </w:r>
    </w:p>
    <w:p w14:paraId="0A000000">
      <w:pPr>
        <w:numPr>
          <w:ilvl w:val="0"/>
          <w:numId w:val="1"/>
        </w:numPr>
        <w:ind w:firstLine="709" w:left="0"/>
      </w:pPr>
      <w:r>
        <w:t>Типовое обязательство пользова</w:t>
      </w:r>
      <w:r>
        <w:t>телей о неразглашении информации ограниченного доступа.</w:t>
      </w:r>
    </w:p>
    <w:p w14:paraId="0B000000">
      <w:pPr>
        <w:numPr>
          <w:ilvl w:val="0"/>
          <w:numId w:val="1"/>
        </w:numPr>
        <w:ind w:firstLine="709" w:left="0"/>
      </w:pPr>
      <w:r>
        <w:t>Форма журнала проведения внутреннего контроля.</w:t>
      </w:r>
    </w:p>
    <w:p w14:paraId="0C000000">
      <w:pPr>
        <w:numPr>
          <w:ilvl w:val="0"/>
          <w:numId w:val="1"/>
        </w:numPr>
        <w:ind w:firstLine="709" w:left="0"/>
      </w:pPr>
      <w:r>
        <w:t>План мероприятий по защите информации ограниченного доступа.</w:t>
      </w:r>
    </w:p>
    <w:p w14:paraId="0D000000">
      <w:pPr>
        <w:numPr>
          <w:ilvl w:val="0"/>
          <w:numId w:val="1"/>
        </w:numPr>
        <w:ind w:firstLine="709" w:left="0"/>
      </w:pPr>
      <w:r>
        <w:t xml:space="preserve">План-программа обучения и повышения осведомленности в области защиты </w:t>
      </w:r>
      <w:r>
        <w:t>информации</w:t>
      </w:r>
      <w:r>
        <w:t>.</w:t>
      </w:r>
    </w:p>
    <w:p w14:paraId="0E000000">
      <w:pPr>
        <w:numPr>
          <w:ilvl w:val="0"/>
          <w:numId w:val="1"/>
        </w:numPr>
        <w:ind w:firstLine="709" w:left="0"/>
      </w:pPr>
      <w:r>
        <w:t>Положение об</w:t>
      </w:r>
      <w:r>
        <w:t xml:space="preserve"> обработке персональных данных.</w:t>
      </w:r>
    </w:p>
    <w:p w14:paraId="0F000000">
      <w:pPr>
        <w:numPr>
          <w:ilvl w:val="0"/>
          <w:numId w:val="1"/>
        </w:numPr>
        <w:ind w:firstLine="709" w:left="0"/>
      </w:pPr>
      <w:r>
        <w:t>Согласие на обработку ПДн.</w:t>
      </w:r>
    </w:p>
    <w:p w14:paraId="10000000">
      <w:pPr>
        <w:numPr>
          <w:ilvl w:val="0"/>
          <w:numId w:val="1"/>
        </w:numPr>
        <w:ind w:firstLine="709" w:left="0"/>
      </w:pPr>
      <w:r>
        <w:t>Типовая форма разъяснения субъекту персональных данных юридических последствий отказа предоставить свои данные.</w:t>
      </w:r>
    </w:p>
    <w:p w14:paraId="11000000">
      <w:pPr>
        <w:numPr>
          <w:ilvl w:val="0"/>
          <w:numId w:val="1"/>
        </w:numPr>
        <w:ind w:firstLine="709" w:left="0"/>
      </w:pPr>
      <w:r>
        <w:t>Типовая форма запроса субъекта ПДн на доступ к своим ПДн.</w:t>
      </w:r>
    </w:p>
    <w:p w14:paraId="12000000">
      <w:pPr>
        <w:numPr>
          <w:ilvl w:val="0"/>
          <w:numId w:val="1"/>
        </w:numPr>
        <w:ind w:firstLine="709" w:left="0"/>
      </w:pPr>
      <w:r>
        <w:t>Правила рассмотрения запрос</w:t>
      </w:r>
      <w:r>
        <w:t>ов субъектов ПДн или их представителей.</w:t>
      </w:r>
    </w:p>
    <w:p w14:paraId="13000000">
      <w:pPr>
        <w:numPr>
          <w:ilvl w:val="0"/>
          <w:numId w:val="1"/>
        </w:numPr>
        <w:ind w:firstLine="709" w:left="0"/>
      </w:pPr>
      <w:r>
        <w:t>Форма Журнала учета обращений субъектов ПДн.</w:t>
      </w:r>
    </w:p>
    <w:p w14:paraId="14000000">
      <w:pPr>
        <w:numPr>
          <w:ilvl w:val="0"/>
          <w:numId w:val="1"/>
        </w:numPr>
        <w:ind w:firstLine="709" w:left="0"/>
      </w:pPr>
      <w:r>
        <w:t>Форма уведомления об устранении нарушений, допущенных при обработке.</w:t>
      </w:r>
    </w:p>
    <w:p w14:paraId="15000000">
      <w:pPr>
        <w:numPr>
          <w:ilvl w:val="0"/>
          <w:numId w:val="1"/>
        </w:numPr>
        <w:ind w:firstLine="709" w:left="0"/>
      </w:pPr>
      <w:r>
        <w:t>Уведомление об уничтожении ПДн.</w:t>
      </w:r>
    </w:p>
    <w:p w14:paraId="16000000">
      <w:pPr>
        <w:numPr>
          <w:ilvl w:val="0"/>
          <w:numId w:val="1"/>
        </w:numPr>
        <w:ind w:firstLine="709" w:left="0"/>
      </w:pPr>
      <w:r>
        <w:t>Инструкция ответственного за эксплуатацию средств криптографической за</w:t>
      </w:r>
      <w:r>
        <w:t>щиты информации.</w:t>
      </w:r>
    </w:p>
    <w:p w14:paraId="17000000">
      <w:pPr>
        <w:numPr>
          <w:ilvl w:val="0"/>
          <w:numId w:val="1"/>
        </w:numPr>
        <w:ind w:firstLine="709" w:left="0"/>
      </w:pPr>
      <w:r>
        <w:t>Инструкция по порядку обращения с сертифицированными средствами криптографической защиты информации.</w:t>
      </w:r>
    </w:p>
    <w:p w14:paraId="18000000">
      <w:pPr>
        <w:numPr>
          <w:ilvl w:val="0"/>
          <w:numId w:val="1"/>
        </w:numPr>
        <w:ind w:firstLine="709" w:left="0"/>
      </w:pPr>
      <w:r>
        <w:t>Перечень сотрудников, допущенных к работе с сертифицированными средствами криптографической защиты информации.</w:t>
      </w:r>
    </w:p>
    <w:p w14:paraId="19000000">
      <w:pPr>
        <w:numPr>
          <w:ilvl w:val="0"/>
          <w:numId w:val="1"/>
        </w:numPr>
        <w:ind w:firstLine="709" w:left="0"/>
      </w:pPr>
      <w:r>
        <w:t xml:space="preserve">Форма </w:t>
      </w:r>
      <w:r>
        <w:t>поэкземплярного</w:t>
      </w:r>
      <w:r>
        <w:t xml:space="preserve"> учета</w:t>
      </w:r>
      <w:r>
        <w:t xml:space="preserve"> средств криптографической защиты информации.</w:t>
      </w:r>
    </w:p>
    <w:p w14:paraId="1A000000">
      <w:pPr>
        <w:numPr>
          <w:ilvl w:val="0"/>
          <w:numId w:val="1"/>
        </w:numPr>
        <w:ind w:firstLine="709" w:left="0"/>
      </w:pPr>
      <w:r>
        <w:t>Инструкция по восстановлению связи в случае компрометации.</w:t>
      </w:r>
    </w:p>
    <w:p w14:paraId="1B000000">
      <w:pPr>
        <w:numPr>
          <w:ilvl w:val="0"/>
          <w:numId w:val="1"/>
        </w:numPr>
        <w:ind w:firstLine="709" w:left="0"/>
      </w:pPr>
      <w:r>
        <w:t>Типовая форма заявления на выдачу (</w:t>
      </w:r>
      <w:r>
        <w:t>перевыпуск</w:t>
      </w:r>
      <w:r>
        <w:t>) ключевых документов.</w:t>
      </w:r>
    </w:p>
    <w:p w14:paraId="1C000000">
      <w:pPr>
        <w:numPr>
          <w:ilvl w:val="0"/>
          <w:numId w:val="1"/>
        </w:numPr>
        <w:ind w:firstLine="709" w:left="0"/>
      </w:pPr>
      <w:r>
        <w:t>Типовая фор</w:t>
      </w:r>
      <w:r>
        <w:t>ма акта об уничтожении криптографических ключей.</w:t>
      </w:r>
    </w:p>
    <w:p w14:paraId="1D000000">
      <w:pPr>
        <w:numPr>
          <w:ilvl w:val="0"/>
          <w:numId w:val="1"/>
        </w:numPr>
        <w:ind w:firstLine="709" w:left="0"/>
      </w:pPr>
      <w:r>
        <w:t xml:space="preserve">Инструкция </w:t>
      </w:r>
      <w:r>
        <w:t>администратора на информационных систем.</w:t>
      </w:r>
    </w:p>
    <w:p w14:paraId="1E000000">
      <w:pPr>
        <w:numPr>
          <w:ilvl w:val="0"/>
          <w:numId w:val="1"/>
        </w:numPr>
        <w:ind w:firstLine="709" w:left="0"/>
      </w:pPr>
      <w:r>
        <w:t>Инструкция администратора информационной безопасности.</w:t>
      </w:r>
    </w:p>
    <w:p w14:paraId="1F000000">
      <w:pPr>
        <w:numPr>
          <w:ilvl w:val="0"/>
          <w:numId w:val="1"/>
        </w:numPr>
        <w:ind w:firstLine="709" w:left="0"/>
      </w:pPr>
      <w:r>
        <w:t>Инструкция пользователя.</w:t>
      </w:r>
    </w:p>
    <w:p w14:paraId="20000000">
      <w:pPr>
        <w:numPr>
          <w:ilvl w:val="0"/>
          <w:numId w:val="1"/>
        </w:numPr>
        <w:ind w:firstLine="709" w:left="0"/>
      </w:pPr>
      <w:r>
        <w:t>Инструкция по порядку обращения со средствами защиты информации.</w:t>
      </w:r>
    </w:p>
    <w:p w14:paraId="21000000">
      <w:pPr>
        <w:numPr>
          <w:ilvl w:val="0"/>
          <w:numId w:val="1"/>
        </w:numPr>
        <w:ind w:firstLine="709" w:left="0"/>
      </w:pPr>
      <w:r>
        <w:t xml:space="preserve">Форма журнала </w:t>
      </w:r>
      <w:r>
        <w:t>поэкземплярного</w:t>
      </w:r>
      <w:r>
        <w:t xml:space="preserve"> учета средств защиты информации.</w:t>
      </w:r>
    </w:p>
    <w:p w14:paraId="22000000">
      <w:pPr>
        <w:numPr>
          <w:ilvl w:val="0"/>
          <w:numId w:val="1"/>
        </w:numPr>
        <w:ind w:firstLine="709" w:left="0"/>
      </w:pPr>
      <w:r>
        <w:t>Правила</w:t>
      </w:r>
      <w:r>
        <w:t xml:space="preserve"> идентификации и аутентификации субъектов доступа и объектов доступа.</w:t>
      </w:r>
    </w:p>
    <w:p w14:paraId="23000000">
      <w:pPr>
        <w:numPr>
          <w:ilvl w:val="0"/>
          <w:numId w:val="1"/>
        </w:numPr>
        <w:ind w:firstLine="709" w:left="0"/>
      </w:pPr>
      <w:r>
        <w:t>Положение об управлении доступом субъектов доступа к объектам доступа.</w:t>
      </w:r>
    </w:p>
    <w:p w14:paraId="24000000">
      <w:pPr>
        <w:numPr>
          <w:ilvl w:val="0"/>
          <w:numId w:val="1"/>
        </w:numPr>
        <w:ind w:firstLine="709" w:left="0"/>
      </w:pPr>
      <w:r>
        <w:t>Матрица доступа субъектов доступа по отношению к защищаемым информационным ресурсам.</w:t>
      </w:r>
    </w:p>
    <w:p w14:paraId="25000000">
      <w:pPr>
        <w:numPr>
          <w:ilvl w:val="0"/>
          <w:numId w:val="1"/>
        </w:numPr>
        <w:ind w:firstLine="709" w:left="0"/>
      </w:pPr>
      <w:r>
        <w:t>Инструкция по антивирусной защ</w:t>
      </w:r>
      <w:r>
        <w:t>ите и обнаружению вторжений.</w:t>
      </w:r>
    </w:p>
    <w:p w14:paraId="26000000">
      <w:pPr>
        <w:numPr>
          <w:ilvl w:val="0"/>
          <w:numId w:val="1"/>
        </w:numPr>
        <w:ind w:firstLine="709" w:left="0"/>
      </w:pPr>
      <w:r>
        <w:t>Правила обращения с машинными носителями информации.</w:t>
      </w:r>
    </w:p>
    <w:p w14:paraId="27000000">
      <w:pPr>
        <w:numPr>
          <w:ilvl w:val="0"/>
          <w:numId w:val="1"/>
        </w:numPr>
        <w:ind w:firstLine="709" w:left="0"/>
      </w:pPr>
      <w:r>
        <w:t>Форма журнала регистрации, учета и выдачи машинных носителей информации.</w:t>
      </w:r>
    </w:p>
    <w:p w14:paraId="28000000">
      <w:pPr>
        <w:numPr>
          <w:ilvl w:val="0"/>
          <w:numId w:val="1"/>
        </w:numPr>
        <w:ind w:firstLine="709" w:left="0"/>
      </w:pPr>
      <w:r>
        <w:t>Перечень хранилищ для хранения материальных носителей информации.</w:t>
      </w:r>
    </w:p>
    <w:p w14:paraId="29000000">
      <w:pPr>
        <w:numPr>
          <w:ilvl w:val="0"/>
          <w:numId w:val="1"/>
        </w:numPr>
        <w:ind w:firstLine="709" w:left="0"/>
      </w:pPr>
      <w:r>
        <w:t xml:space="preserve">Инструкция по выявлению инцидентов </w:t>
      </w:r>
      <w:r>
        <w:t>безопасности и реагированию на них.</w:t>
      </w:r>
    </w:p>
    <w:p w14:paraId="2A000000">
      <w:pPr>
        <w:numPr>
          <w:ilvl w:val="0"/>
          <w:numId w:val="1"/>
        </w:numPr>
        <w:ind w:firstLine="709" w:left="0"/>
      </w:pPr>
      <w:r>
        <w:t>Положение об обеспечении доступности.</w:t>
      </w:r>
    </w:p>
    <w:p w14:paraId="2B000000">
      <w:pPr>
        <w:numPr>
          <w:ilvl w:val="0"/>
          <w:numId w:val="1"/>
        </w:numPr>
        <w:ind w:firstLine="709" w:left="0"/>
      </w:pPr>
      <w:r>
        <w:t>Назначение администраторов ИС и ИБ.</w:t>
      </w:r>
    </w:p>
    <w:p w14:paraId="2C000000">
      <w:pPr>
        <w:numPr>
          <w:ilvl w:val="0"/>
          <w:numId w:val="1"/>
        </w:numPr>
        <w:ind w:firstLine="709" w:left="0"/>
      </w:pPr>
      <w:r>
        <w:t>Назначение ответственного за организацию обработки ПДН.</w:t>
      </w:r>
    </w:p>
    <w:sectPr>
      <w:pgSz w:h="16838" w:orient="portrait" w:w="11906"/>
      <w:pgMar w:bottom="1134" w:footer="720" w:gutter="0" w:header="720" w:left="1304" w:right="73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430" w:left="790"/>
      </w:pPr>
    </w:lvl>
    <w:lvl w:ilvl="2">
      <w:start w:val="1"/>
      <w:numFmt w:val="decimal"/>
      <w:lvlText w:val="%1.%2.%3."/>
      <w:lvlJc w:val="left"/>
      <w:pPr>
        <w:ind w:hanging="505" w:left="1225"/>
      </w:pPr>
    </w:lvl>
    <w:lvl w:ilvl="3">
      <w:start w:val="1"/>
      <w:numFmt w:val="decimal"/>
      <w:lvlText w:val="%1.%2.%3.%4."/>
      <w:lvlJc w:val="left"/>
      <w:pPr>
        <w:ind w:hanging="650" w:left="1730"/>
      </w:pPr>
    </w:lvl>
    <w:lvl w:ilvl="4">
      <w:start w:val="1"/>
      <w:numFmt w:val="decimal"/>
      <w:lvlText w:val="%1.%2.%3.%4.%5."/>
      <w:lvlJc w:val="left"/>
      <w:pPr>
        <w:ind w:hanging="790" w:left="2230"/>
      </w:pPr>
    </w:lvl>
    <w:lvl w:ilvl="5">
      <w:start w:val="1"/>
      <w:numFmt w:val="decimal"/>
      <w:lvlText w:val="%1.%2.%3.%4.%5.%6."/>
      <w:lvlJc w:val="left"/>
      <w:pPr>
        <w:ind w:hanging="935" w:left="2735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5" w:left="3745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ind/>
      <w:jc w:val="both"/>
    </w:pPr>
    <w:rPr>
      <w:sz w:val="28"/>
    </w:rPr>
  </w:style>
  <w:style w:default="1" w:styleId="Style_1_ch" w:type="character">
    <w:name w:val="Normal"/>
    <w:link w:val="Style_1"/>
    <w:rPr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sz w:val="28"/>
    </w:rPr>
  </w:style>
  <w:style w:styleId="Style_2_ch" w:type="character">
    <w:name w:val="toc 2"/>
    <w:link w:val="Style_2"/>
    <w:rPr>
      <w:sz w:val="28"/>
    </w:rPr>
  </w:style>
  <w:style w:styleId="Style_3" w:type="paragraph">
    <w:name w:val="Основной шрифт абзаца1"/>
    <w:link w:val="Style_3_ch"/>
  </w:style>
  <w:style w:styleId="Style_3_ch" w:type="character">
    <w:name w:val="Основной шрифт абзаца1"/>
    <w:link w:val="Style_3"/>
  </w:style>
  <w:style w:styleId="Style_4" w:type="paragraph">
    <w:name w:val="toc 4"/>
    <w:next w:val="Style_1"/>
    <w:link w:val="Style_4_ch"/>
    <w:uiPriority w:val="39"/>
    <w:pPr>
      <w:ind w:firstLine="0" w:left="600"/>
    </w:pPr>
    <w:rPr>
      <w:sz w:val="28"/>
    </w:rPr>
  </w:style>
  <w:style w:styleId="Style_4_ch" w:type="character">
    <w:name w:val="toc 4"/>
    <w:link w:val="Style_4"/>
    <w:rPr>
      <w:sz w:val="28"/>
    </w:rPr>
  </w:style>
  <w:style w:styleId="Style_5" w:type="paragraph">
    <w:name w:val="Гиперссылка1"/>
    <w:link w:val="Style_5_ch"/>
    <w:rPr>
      <w:color w:val="0000FF"/>
      <w:u w:val="single"/>
    </w:rPr>
  </w:style>
  <w:style w:styleId="Style_5_ch" w:type="character">
    <w:name w:val="Гиперссылка1"/>
    <w:link w:val="Style_5"/>
    <w:rPr>
      <w:color w:val="0000FF"/>
      <w:u w:val="single"/>
    </w:rPr>
  </w:style>
  <w:style w:styleId="Style_6" w:type="paragraph">
    <w:name w:val="toc 6"/>
    <w:next w:val="Style_1"/>
    <w:link w:val="Style_6_ch"/>
    <w:uiPriority w:val="39"/>
    <w:pPr>
      <w:ind w:firstLine="0" w:left="1000"/>
    </w:pPr>
    <w:rPr>
      <w:sz w:val="28"/>
    </w:rPr>
  </w:style>
  <w:style w:styleId="Style_6_ch" w:type="character">
    <w:name w:val="toc 6"/>
    <w:link w:val="Style_6"/>
    <w:rPr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</w:pPr>
    <w:rPr>
      <w:sz w:val="28"/>
    </w:rPr>
  </w:style>
  <w:style w:styleId="Style_7_ch" w:type="character">
    <w:name w:val="toc 7"/>
    <w:link w:val="Style_7"/>
    <w:rPr>
      <w:sz w:val="28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8_ch" w:type="character">
    <w:name w:val="heading 3"/>
    <w:link w:val="Style_8"/>
    <w:rPr>
      <w:b w:val="1"/>
      <w:sz w:val="26"/>
    </w:rPr>
  </w:style>
  <w:style w:styleId="Style_9" w:type="paragraph">
    <w:name w:val="Обычный1"/>
    <w:link w:val="Style_9_ch"/>
    <w:rPr>
      <w:sz w:val="28"/>
    </w:rPr>
  </w:style>
  <w:style w:styleId="Style_9_ch" w:type="character">
    <w:name w:val="Обычный1"/>
    <w:link w:val="Style_9"/>
    <w:rPr>
      <w:sz w:val="28"/>
    </w:rPr>
  </w:style>
  <w:style w:styleId="Style_10" w:type="paragraph">
    <w:name w:val="Обычный1"/>
    <w:link w:val="Style_10_ch"/>
    <w:rPr>
      <w:sz w:val="28"/>
    </w:rPr>
  </w:style>
  <w:style w:styleId="Style_10_ch" w:type="character">
    <w:name w:val="Обычный1"/>
    <w:link w:val="Style_10"/>
    <w:rPr>
      <w:sz w:val="28"/>
    </w:rPr>
  </w:style>
  <w:style w:styleId="Style_11" w:type="paragraph">
    <w:name w:val="toc 3"/>
    <w:next w:val="Style_1"/>
    <w:link w:val="Style_11_ch"/>
    <w:uiPriority w:val="39"/>
    <w:pPr>
      <w:ind w:firstLine="0" w:left="400"/>
    </w:pPr>
    <w:rPr>
      <w:sz w:val="28"/>
    </w:rPr>
  </w:style>
  <w:style w:styleId="Style_11_ch" w:type="character">
    <w:name w:val="toc 3"/>
    <w:link w:val="Style_11"/>
    <w:rPr>
      <w:sz w:val="28"/>
    </w:rPr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12_ch" w:type="character">
    <w:name w:val="heading 5"/>
    <w:link w:val="Style_12"/>
    <w:rPr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13_ch" w:type="character">
    <w:name w:val="heading 1"/>
    <w:link w:val="Style_13"/>
    <w:rPr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sz w:val="22"/>
    </w:rPr>
  </w:style>
  <w:style w:styleId="Style_15_ch" w:type="character">
    <w:name w:val="Footnote"/>
    <w:link w:val="Style_15"/>
    <w:rPr>
      <w:sz w:val="22"/>
    </w:rPr>
  </w:style>
  <w:style w:styleId="Style_16" w:type="paragraph">
    <w:name w:val="toc 1"/>
    <w:next w:val="Style_1"/>
    <w:link w:val="Style_16_ch"/>
    <w:uiPriority w:val="39"/>
    <w:rPr>
      <w:b w:val="1"/>
      <w:sz w:val="28"/>
    </w:rPr>
  </w:style>
  <w:style w:styleId="Style_16_ch" w:type="character">
    <w:name w:val="toc 1"/>
    <w:link w:val="Style_16"/>
    <w:rPr>
      <w:b w:val="1"/>
      <w:sz w:val="28"/>
    </w:rPr>
  </w:style>
  <w:style w:styleId="Style_17" w:type="paragraph">
    <w:name w:val="Header and Footer"/>
    <w:link w:val="Style_17_ch"/>
    <w:pPr>
      <w:ind/>
      <w:jc w:val="both"/>
    </w:pPr>
    <w:rPr>
      <w:sz w:val="20"/>
    </w:rPr>
  </w:style>
  <w:style w:styleId="Style_17_ch" w:type="character">
    <w:name w:val="Header and Footer"/>
    <w:link w:val="Style_17"/>
    <w:rPr>
      <w:sz w:val="20"/>
    </w:rPr>
  </w:style>
  <w:style w:styleId="Style_18" w:type="paragraph">
    <w:name w:val="toc 9"/>
    <w:next w:val="Style_1"/>
    <w:link w:val="Style_18_ch"/>
    <w:uiPriority w:val="39"/>
    <w:pPr>
      <w:ind w:firstLine="0" w:left="1600"/>
    </w:pPr>
    <w:rPr>
      <w:sz w:val="28"/>
    </w:rPr>
  </w:style>
  <w:style w:styleId="Style_18_ch" w:type="character">
    <w:name w:val="toc 9"/>
    <w:link w:val="Style_18"/>
    <w:rPr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8"/>
    <w:next w:val="Style_1"/>
    <w:link w:val="Style_20_ch"/>
    <w:uiPriority w:val="39"/>
    <w:pPr>
      <w:ind w:firstLine="0" w:left="1400"/>
    </w:pPr>
    <w:rPr>
      <w:sz w:val="28"/>
    </w:rPr>
  </w:style>
  <w:style w:styleId="Style_20_ch" w:type="character">
    <w:name w:val="toc 8"/>
    <w:link w:val="Style_20"/>
    <w:rPr>
      <w:sz w:val="28"/>
    </w:rPr>
  </w:style>
  <w:style w:styleId="Style_21" w:type="paragraph">
    <w:name w:val="toc 5"/>
    <w:next w:val="Style_1"/>
    <w:link w:val="Style_21_ch"/>
    <w:uiPriority w:val="39"/>
    <w:pPr>
      <w:ind w:firstLine="0" w:left="800"/>
    </w:pPr>
    <w:rPr>
      <w:sz w:val="28"/>
    </w:rPr>
  </w:style>
  <w:style w:styleId="Style_21_ch" w:type="character">
    <w:name w:val="toc 5"/>
    <w:link w:val="Style_21"/>
    <w:rPr>
      <w:sz w:val="28"/>
    </w:rPr>
  </w:style>
  <w:style w:styleId="Style_22" w:type="paragraph">
    <w:name w:val="Гиперссылка2"/>
    <w:link w:val="Style_22_ch"/>
    <w:rPr>
      <w:color w:val="0000FF"/>
      <w:u w:val="single"/>
    </w:rPr>
  </w:style>
  <w:style w:styleId="Style_22_ch" w:type="character">
    <w:name w:val="Гиперссылка2"/>
    <w:link w:val="Style_22"/>
    <w:rPr>
      <w:color w:val="0000FF"/>
      <w:u w:val="single"/>
    </w:rPr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i w:val="1"/>
    </w:rPr>
  </w:style>
  <w:style w:styleId="Style_23_ch" w:type="character">
    <w:name w:val="Subtitle"/>
    <w:link w:val="Style_23"/>
    <w:rPr>
      <w:i w:val="1"/>
    </w:rPr>
  </w:style>
  <w:style w:styleId="Style_24" w:type="paragraph">
    <w:name w:val="Title"/>
    <w:next w:val="Style_1"/>
    <w:link w:val="Style_24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24_ch" w:type="character">
    <w:name w:val="Title"/>
    <w:link w:val="Style_24"/>
    <w:rPr>
      <w:b w:val="1"/>
      <w:caps w:val="1"/>
      <w:sz w:val="40"/>
    </w:rPr>
  </w:style>
  <w:style w:styleId="Style_25" w:type="paragraph">
    <w:name w:val="heading 4"/>
    <w:next w:val="Style_1"/>
    <w:link w:val="Style_25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25_ch" w:type="character">
    <w:name w:val="heading 4"/>
    <w:link w:val="Style_25"/>
    <w:rPr>
      <w:b w:val="1"/>
    </w:rPr>
  </w:style>
  <w:style w:styleId="Style_26" w:type="paragraph">
    <w:name w:val="heading 2"/>
    <w:next w:val="Style_1"/>
    <w:link w:val="Style_26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26_ch" w:type="character">
    <w:name w:val="heading 2"/>
    <w:link w:val="Style_26"/>
    <w:rPr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2024-12-22T14:51:50Z</dcterms:modified>
</cp:coreProperties>
</file>